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4152" w14:textId="77777777" w:rsidR="00E03DA7" w:rsidRDefault="00E03DA7" w:rsidP="004A336B">
      <w:pPr>
        <w:spacing w:after="0" w:line="240" w:lineRule="auto"/>
        <w:ind w:left="3540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sz w:val="20"/>
          <w:szCs w:val="20"/>
        </w:rPr>
        <w:t>20</w:t>
      </w:r>
      <w:r w:rsidRPr="00855DC8">
        <w:rPr>
          <w:rFonts w:ascii="Calibri Light" w:hAnsi="Calibri Light" w:cs="Calibri Light"/>
          <w:sz w:val="20"/>
          <w:szCs w:val="20"/>
        </w:rPr>
        <w:t xml:space="preserve"> do </w:t>
      </w:r>
      <w:r>
        <w:rPr>
          <w:rFonts w:ascii="Calibri Light" w:hAnsi="Calibri Light" w:cs="Calibri Light"/>
          <w:sz w:val="20"/>
          <w:szCs w:val="20"/>
        </w:rPr>
        <w:t>Zasad</w:t>
      </w:r>
    </w:p>
    <w:p w14:paraId="4FC05CFC" w14:textId="0D3D5DBB" w:rsidR="00E03DA7" w:rsidRPr="00E03DA7" w:rsidRDefault="00E03DA7" w:rsidP="00E03DA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E03DA7">
        <w:rPr>
          <w:rFonts w:ascii="Calibri Light" w:hAnsi="Calibri Light" w:cs="Calibri Light"/>
          <w:sz w:val="20"/>
          <w:szCs w:val="20"/>
        </w:rPr>
        <w:t xml:space="preserve">stanowiących załącznik nr 1 do Uchwały nr </w:t>
      </w:r>
      <w:r w:rsidR="00227891">
        <w:rPr>
          <w:rFonts w:ascii="Calibri Light" w:hAnsi="Calibri Light" w:cs="Calibri Light"/>
          <w:sz w:val="20"/>
          <w:szCs w:val="20"/>
        </w:rPr>
        <w:t>84</w:t>
      </w:r>
      <w:r w:rsidRPr="00E03DA7">
        <w:rPr>
          <w:rFonts w:ascii="Calibri Light" w:hAnsi="Calibri Light" w:cs="Calibri Light"/>
          <w:sz w:val="20"/>
          <w:szCs w:val="20"/>
        </w:rPr>
        <w:t>/202</w:t>
      </w:r>
      <w:r w:rsidR="004602D2">
        <w:rPr>
          <w:rFonts w:ascii="Calibri Light" w:hAnsi="Calibri Light" w:cs="Calibri Light"/>
          <w:sz w:val="20"/>
          <w:szCs w:val="20"/>
        </w:rPr>
        <w:t>5</w:t>
      </w:r>
    </w:p>
    <w:p w14:paraId="21BC1B5F" w14:textId="77777777" w:rsidR="00E03DA7" w:rsidRPr="00E03DA7" w:rsidRDefault="00E03DA7" w:rsidP="00E03DA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E03DA7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4872CD99" w14:textId="77777777" w:rsidR="00E03DA7" w:rsidRPr="00E03DA7" w:rsidRDefault="00E03DA7" w:rsidP="00E03DA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E03DA7">
        <w:rPr>
          <w:rFonts w:ascii="Calibri Light" w:hAnsi="Calibri Light" w:cs="Calibri Light"/>
          <w:sz w:val="20"/>
          <w:szCs w:val="20"/>
        </w:rPr>
        <w:t>im. Marii Grzegorzewskiej</w:t>
      </w:r>
    </w:p>
    <w:p w14:paraId="7746485C" w14:textId="764AE374" w:rsidR="00E03DA7" w:rsidRPr="00E03DA7" w:rsidRDefault="00E03DA7" w:rsidP="00E03DA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E03DA7">
        <w:rPr>
          <w:rFonts w:ascii="Calibri Light" w:hAnsi="Calibri Light" w:cs="Calibri Light"/>
          <w:sz w:val="20"/>
          <w:szCs w:val="20"/>
        </w:rPr>
        <w:t xml:space="preserve">z dnia </w:t>
      </w:r>
      <w:r w:rsidR="004602D2">
        <w:rPr>
          <w:rFonts w:ascii="Calibri Light" w:hAnsi="Calibri Light" w:cs="Calibri Light"/>
          <w:sz w:val="20"/>
          <w:szCs w:val="20"/>
        </w:rPr>
        <w:t>1</w:t>
      </w:r>
      <w:r w:rsidR="004B6B9E">
        <w:rPr>
          <w:rFonts w:ascii="Calibri Light" w:hAnsi="Calibri Light" w:cs="Calibri Light"/>
          <w:sz w:val="20"/>
          <w:szCs w:val="20"/>
        </w:rPr>
        <w:t>7</w:t>
      </w:r>
      <w:r w:rsidRPr="00E03DA7">
        <w:rPr>
          <w:rFonts w:ascii="Calibri Light" w:hAnsi="Calibri Light" w:cs="Calibri Light"/>
          <w:sz w:val="20"/>
          <w:szCs w:val="20"/>
        </w:rPr>
        <w:t xml:space="preserve"> </w:t>
      </w:r>
      <w:r w:rsidR="004B6B9E">
        <w:rPr>
          <w:rFonts w:ascii="Calibri Light" w:hAnsi="Calibri Light" w:cs="Calibri Light"/>
          <w:sz w:val="20"/>
          <w:szCs w:val="20"/>
        </w:rPr>
        <w:t xml:space="preserve">grudnia </w:t>
      </w:r>
      <w:r w:rsidRPr="00E03DA7">
        <w:rPr>
          <w:rFonts w:ascii="Calibri Light" w:hAnsi="Calibri Light" w:cs="Calibri Light"/>
          <w:sz w:val="20"/>
          <w:szCs w:val="20"/>
        </w:rPr>
        <w:t>202</w:t>
      </w:r>
      <w:r w:rsidR="004602D2">
        <w:rPr>
          <w:rFonts w:ascii="Calibri Light" w:hAnsi="Calibri Light" w:cs="Calibri Light"/>
          <w:sz w:val="20"/>
          <w:szCs w:val="20"/>
        </w:rPr>
        <w:t>5</w:t>
      </w:r>
      <w:r w:rsidRPr="00E03DA7">
        <w:rPr>
          <w:rFonts w:ascii="Calibri Light" w:hAnsi="Calibri Light" w:cs="Calibri Light"/>
          <w:sz w:val="20"/>
          <w:szCs w:val="20"/>
        </w:rPr>
        <w:t xml:space="preserve"> r.</w:t>
      </w:r>
    </w:p>
    <w:p w14:paraId="0816086D" w14:textId="77777777" w:rsidR="00E03DA7" w:rsidRDefault="00E03DA7" w:rsidP="00E03DA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E03DA7" w14:paraId="63B205FA" w14:textId="77777777" w:rsidTr="00E03DA7">
        <w:tc>
          <w:tcPr>
            <w:tcW w:w="4606" w:type="dxa"/>
          </w:tcPr>
          <w:p w14:paraId="4EE7E854" w14:textId="77777777" w:rsidR="00E03DA7" w:rsidRPr="00F81AF6" w:rsidRDefault="00E03DA7" w:rsidP="00E03DA7">
            <w:pPr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ETAP 1</w:t>
            </w:r>
          </w:p>
          <w:p w14:paraId="65745D1A" w14:textId="31C8B822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APS</w:t>
            </w:r>
          </w:p>
        </w:tc>
        <w:tc>
          <w:tcPr>
            <w:tcW w:w="4606" w:type="dxa"/>
          </w:tcPr>
          <w:p w14:paraId="3C249D44" w14:textId="2F1B86AE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Wprowadzenie do systemu USOS/APD tytułu rozprawy doktorskiej w języku polskim, wprowadzenie do USOS, wybór języka pracy, podpięcie promotora.</w:t>
            </w:r>
          </w:p>
        </w:tc>
      </w:tr>
      <w:tr w:rsidR="00E03DA7" w14:paraId="3288809E" w14:textId="77777777" w:rsidTr="00E03DA7">
        <w:tc>
          <w:tcPr>
            <w:tcW w:w="4606" w:type="dxa"/>
          </w:tcPr>
          <w:p w14:paraId="4CDE09D7" w14:textId="77777777" w:rsidR="00E03DA7" w:rsidRPr="00F81AF6" w:rsidRDefault="00E03DA7" w:rsidP="00E03DA7">
            <w:pPr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ETAP 2</w:t>
            </w:r>
          </w:p>
          <w:p w14:paraId="3F9C4494" w14:textId="7D2C5225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Kandydat</w:t>
            </w:r>
          </w:p>
        </w:tc>
        <w:tc>
          <w:tcPr>
            <w:tcW w:w="4606" w:type="dxa"/>
          </w:tcPr>
          <w:p w14:paraId="68FFA5CC" w14:textId="4C3BFCEB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Wprowadzenie wymaganych informacji z rozprawy doktorskiej do systemu APD: tytułu w języku angielskim, streszczenia w języku polskim, słów kluczowych w języku polskim i angielskim, pliku pracy (nazwa zapisanego pliku powinna zawierać: numer albumu autora rozprawy oraz informacji o rodzaju pracy (rozprawa doktorska_imię i nazwisko). Zatwierdzenie wprowadzonych danych</w:t>
            </w:r>
          </w:p>
        </w:tc>
      </w:tr>
      <w:tr w:rsidR="00E03DA7" w14:paraId="7DA304DC" w14:textId="77777777" w:rsidTr="00E03DA7">
        <w:tc>
          <w:tcPr>
            <w:tcW w:w="4606" w:type="dxa"/>
          </w:tcPr>
          <w:p w14:paraId="0C7F7EFA" w14:textId="77777777" w:rsidR="00E03DA7" w:rsidRPr="00F81AF6" w:rsidRDefault="00E03DA7" w:rsidP="00E03DA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ETAP 3</w:t>
            </w:r>
          </w:p>
          <w:p w14:paraId="39BAEA64" w14:textId="1236F28C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Promotor</w:t>
            </w:r>
          </w:p>
        </w:tc>
        <w:tc>
          <w:tcPr>
            <w:tcW w:w="4606" w:type="dxa"/>
          </w:tcPr>
          <w:p w14:paraId="46C61170" w14:textId="77777777" w:rsidR="00E03DA7" w:rsidRPr="00F81AF6" w:rsidRDefault="00E03DA7" w:rsidP="00E03D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Sprawdzenie poprawności wprowadzenia przez doktoranta rozprawy doktorskiej  (tytułu w języku angielskim, streszczenia w języku polskim, słów kluczowych w języku polskim i angielskim, pliku rozprawy) oraz zgodności tytułu na stronie tytułowej rozprawy doktorskiej i w systemie APD:</w:t>
            </w:r>
          </w:p>
          <w:p w14:paraId="3797CABB" w14:textId="77777777" w:rsidR="00E03DA7" w:rsidRPr="00F81AF6" w:rsidRDefault="00E03DA7" w:rsidP="00E03DA7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niepoprawne wprowadzenie rozprawy przez doktoranta – cofnięcie do poprawy i poprzedniego „kroku”;</w:t>
            </w:r>
          </w:p>
          <w:p w14:paraId="52BED29F" w14:textId="554947FE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poprawne wprowadzenie rozprawy przez doktoranta – przekazanie (poprzez system APD) rozprawy do sprawdzenia w systemie antyplagiatowym.</w:t>
            </w:r>
          </w:p>
        </w:tc>
      </w:tr>
      <w:tr w:rsidR="00E03DA7" w14:paraId="2F80B572" w14:textId="77777777" w:rsidTr="00E03DA7">
        <w:tc>
          <w:tcPr>
            <w:tcW w:w="4606" w:type="dxa"/>
          </w:tcPr>
          <w:p w14:paraId="73F122D1" w14:textId="77777777" w:rsidR="00E03DA7" w:rsidRPr="00F81AF6" w:rsidRDefault="00E03DA7" w:rsidP="00E03DA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ETAP 4</w:t>
            </w:r>
          </w:p>
          <w:p w14:paraId="71FE69B9" w14:textId="04D190DC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Promotor</w:t>
            </w:r>
          </w:p>
        </w:tc>
        <w:tc>
          <w:tcPr>
            <w:tcW w:w="4606" w:type="dxa"/>
          </w:tcPr>
          <w:p w14:paraId="6A58C44D" w14:textId="77777777" w:rsidR="00E03DA7" w:rsidRPr="00F81AF6" w:rsidRDefault="00E03DA7" w:rsidP="00E03D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 xml:space="preserve">Analiza raportu wygenerowanego przez system antyplagiatowy. Wynik raportu jest sprawdzany i analizowany przez promotora. </w:t>
            </w:r>
          </w:p>
          <w:p w14:paraId="6A6F9B55" w14:textId="77777777" w:rsidR="00E03DA7" w:rsidRPr="00F81AF6" w:rsidRDefault="00E03DA7" w:rsidP="00E03DA7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Akceptacja wyniku raportu wymaga dodatkowego działania – zaznaczenie w APD „Zaakceptuj wynik badania”;</w:t>
            </w:r>
          </w:p>
          <w:p w14:paraId="56A6F228" w14:textId="77777777" w:rsidR="00E03DA7" w:rsidRPr="00F81AF6" w:rsidRDefault="00E03DA7" w:rsidP="00E03DA7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 xml:space="preserve">Wynik raportu uznany za przekroczenie (dopuszczalne) wymaga uzasadnienia promotora na wydruku raportu; </w:t>
            </w:r>
          </w:p>
          <w:p w14:paraId="482ADD83" w14:textId="5DA4C00C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 xml:space="preserve">Wynik raportu uznany za przekroczony (niedopuszczalny) – przekazanie sprawy do </w:t>
            </w:r>
            <w:r w:rsidRPr="00F81AF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Rektora APS za pośrednictwem Prorektora ds. Nauki.</w:t>
            </w:r>
          </w:p>
        </w:tc>
      </w:tr>
      <w:tr w:rsidR="00E03DA7" w14:paraId="58325945" w14:textId="77777777" w:rsidTr="00E03DA7">
        <w:tc>
          <w:tcPr>
            <w:tcW w:w="4606" w:type="dxa"/>
          </w:tcPr>
          <w:p w14:paraId="23203079" w14:textId="77777777" w:rsidR="00E03DA7" w:rsidRPr="00F81AF6" w:rsidRDefault="00E03DA7" w:rsidP="00E03DA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lastRenderedPageBreak/>
              <w:t>ETAP 5</w:t>
            </w:r>
          </w:p>
          <w:p w14:paraId="77BD9B7F" w14:textId="24F0480F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Promotor</w:t>
            </w:r>
          </w:p>
        </w:tc>
        <w:tc>
          <w:tcPr>
            <w:tcW w:w="4606" w:type="dxa"/>
          </w:tcPr>
          <w:p w14:paraId="4003431C" w14:textId="5B1D8E06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Nadanie pracy w systemie APD statusu „</w:t>
            </w: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gotowa do obrony</w:t>
            </w: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” (Uwaga! Wymagane dodatkowe działanie – zaznaczenie w APD „krok 5”).</w:t>
            </w:r>
          </w:p>
        </w:tc>
      </w:tr>
      <w:tr w:rsidR="00E03DA7" w14:paraId="7F3BC84C" w14:textId="77777777" w:rsidTr="00E03DA7">
        <w:tc>
          <w:tcPr>
            <w:tcW w:w="4606" w:type="dxa"/>
          </w:tcPr>
          <w:p w14:paraId="48B7C4D2" w14:textId="77777777" w:rsidR="00E03DA7" w:rsidRPr="00F81AF6" w:rsidRDefault="00E03DA7" w:rsidP="00E03DA7">
            <w:pPr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ETAP 6</w:t>
            </w:r>
          </w:p>
          <w:p w14:paraId="1E978C94" w14:textId="4D068228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Promotor</w:t>
            </w:r>
          </w:p>
        </w:tc>
        <w:tc>
          <w:tcPr>
            <w:tcW w:w="4606" w:type="dxa"/>
          </w:tcPr>
          <w:p w14:paraId="36F8BB72" w14:textId="270945DE" w:rsidR="00E03DA7" w:rsidRDefault="00E03DA7" w:rsidP="00E03DA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Przekazanie do biura prowadzącego postępowanie doktorskiej: papierowej wersji raportu podpisanego przez promotora.</w:t>
            </w:r>
          </w:p>
        </w:tc>
      </w:tr>
      <w:tr w:rsidR="00E03DA7" w14:paraId="05288385" w14:textId="77777777" w:rsidTr="00E03DA7">
        <w:tc>
          <w:tcPr>
            <w:tcW w:w="4606" w:type="dxa"/>
          </w:tcPr>
          <w:p w14:paraId="071D956F" w14:textId="77777777" w:rsidR="00E03DA7" w:rsidRPr="00F81AF6" w:rsidRDefault="00E03DA7" w:rsidP="00E03DA7">
            <w:pPr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ETAP 7</w:t>
            </w:r>
          </w:p>
          <w:p w14:paraId="5A7E077F" w14:textId="14FA7C59" w:rsidR="00E03DA7" w:rsidRPr="00F81AF6" w:rsidRDefault="00E03DA7" w:rsidP="00E03DA7">
            <w:pPr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b/>
                <w:sz w:val="24"/>
                <w:szCs w:val="24"/>
              </w:rPr>
              <w:t>APS</w:t>
            </w:r>
          </w:p>
        </w:tc>
        <w:tc>
          <w:tcPr>
            <w:tcW w:w="4606" w:type="dxa"/>
          </w:tcPr>
          <w:p w14:paraId="2FF28015" w14:textId="758E63F7" w:rsidR="00E03DA7" w:rsidRPr="00F81AF6" w:rsidRDefault="00E03DA7" w:rsidP="00E03D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1AF6">
              <w:rPr>
                <w:rFonts w:asciiTheme="majorHAnsi" w:hAnsiTheme="majorHAnsi" w:cstheme="majorHAnsi"/>
                <w:sz w:val="24"/>
                <w:szCs w:val="24"/>
              </w:rPr>
              <w:t>Przekazanie rozprawy doktorskiej do recenzji przez biuro prowadzące postępowanie doktorskie.</w:t>
            </w:r>
          </w:p>
        </w:tc>
      </w:tr>
    </w:tbl>
    <w:p w14:paraId="0974A654" w14:textId="77777777" w:rsidR="00E03DA7" w:rsidRPr="00120C11" w:rsidRDefault="00E03DA7" w:rsidP="00120C1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9BAFFC0" w14:textId="020644EC" w:rsidR="008F14CF" w:rsidRPr="00CA392E" w:rsidRDefault="00F20F47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 xml:space="preserve">Procedura sprawdzenia oryginalności </w:t>
      </w:r>
      <w:r w:rsidR="00522D75" w:rsidRPr="00CA392E">
        <w:rPr>
          <w:rFonts w:asciiTheme="majorHAnsi" w:hAnsiTheme="majorHAnsi" w:cstheme="majorHAnsi"/>
        </w:rPr>
        <w:t>rozprawy doktorskiej</w:t>
      </w:r>
      <w:r w:rsidRPr="00CA392E">
        <w:rPr>
          <w:rFonts w:asciiTheme="majorHAnsi" w:hAnsiTheme="majorHAnsi" w:cstheme="majorHAnsi"/>
        </w:rPr>
        <w:t xml:space="preserve"> może być przeprowadzona tylko raz.</w:t>
      </w:r>
    </w:p>
    <w:p w14:paraId="6D1B1841" w14:textId="42092146" w:rsidR="008F14CF" w:rsidRPr="00CA392E" w:rsidRDefault="00B763A1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Osoba ubiegająca się o nadanie stopnia doktora</w:t>
      </w:r>
      <w:r w:rsidR="00EF401D" w:rsidRPr="00CA392E">
        <w:rPr>
          <w:rFonts w:asciiTheme="majorHAnsi" w:hAnsiTheme="majorHAnsi" w:cstheme="majorHAnsi"/>
        </w:rPr>
        <w:t>:</w:t>
      </w:r>
    </w:p>
    <w:p w14:paraId="28B75A04" w14:textId="030A3F0F" w:rsidR="008F14CF" w:rsidRPr="00CA392E" w:rsidRDefault="00EF401D" w:rsidP="00E03DA7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>1) wprowadza do systemu APD: plik zawierający uzgodnioną z promotorem</w:t>
      </w:r>
      <w:r w:rsidR="00DF3E86" w:rsidRPr="00CA392E">
        <w:rPr>
          <w:rFonts w:asciiTheme="majorHAnsi" w:hAnsiTheme="majorHAnsi" w:cstheme="majorHAnsi"/>
        </w:rPr>
        <w:t xml:space="preserve"> (</w:t>
      </w:r>
      <w:r w:rsidRPr="00CA392E">
        <w:rPr>
          <w:rFonts w:asciiTheme="majorHAnsi" w:hAnsiTheme="majorHAnsi" w:cstheme="majorHAnsi"/>
        </w:rPr>
        <w:t>ostateczną</w:t>
      </w:r>
      <w:r w:rsidR="00DF3E86" w:rsidRPr="00CA392E">
        <w:rPr>
          <w:rFonts w:asciiTheme="majorHAnsi" w:hAnsiTheme="majorHAnsi" w:cstheme="majorHAnsi"/>
        </w:rPr>
        <w:t>)</w:t>
      </w:r>
      <w:r w:rsidRPr="00CA392E">
        <w:rPr>
          <w:rFonts w:asciiTheme="majorHAnsi" w:hAnsiTheme="majorHAnsi" w:cstheme="majorHAnsi"/>
        </w:rPr>
        <w:t xml:space="preserve"> wersję rozprawy doktorskiej</w:t>
      </w:r>
      <w:r w:rsidR="00DF3E86" w:rsidRPr="00CA392E">
        <w:rPr>
          <w:rFonts w:asciiTheme="majorHAnsi" w:hAnsiTheme="majorHAnsi" w:cstheme="majorHAnsi"/>
        </w:rPr>
        <w:t xml:space="preserve"> w języku polskim lub obcym</w:t>
      </w:r>
      <w:r w:rsidR="00501626" w:rsidRPr="00CA392E">
        <w:rPr>
          <w:rFonts w:asciiTheme="majorHAnsi" w:hAnsiTheme="majorHAnsi" w:cstheme="majorHAnsi"/>
        </w:rPr>
        <w:t xml:space="preserve">, </w:t>
      </w:r>
      <w:r w:rsidRPr="00CA392E">
        <w:rPr>
          <w:rFonts w:asciiTheme="majorHAnsi" w:hAnsiTheme="majorHAnsi" w:cstheme="majorHAnsi"/>
        </w:rPr>
        <w:t>streszczeni</w:t>
      </w:r>
      <w:r w:rsidR="00501626" w:rsidRPr="00CA392E">
        <w:rPr>
          <w:rFonts w:asciiTheme="majorHAnsi" w:hAnsiTheme="majorHAnsi" w:cstheme="majorHAnsi"/>
        </w:rPr>
        <w:t>e</w:t>
      </w:r>
      <w:r w:rsidRPr="00CA392E">
        <w:rPr>
          <w:rFonts w:asciiTheme="majorHAnsi" w:hAnsiTheme="majorHAnsi" w:cstheme="majorHAnsi"/>
        </w:rPr>
        <w:t xml:space="preserve"> </w:t>
      </w:r>
      <w:r w:rsidR="002B07C6" w:rsidRPr="00CA392E">
        <w:rPr>
          <w:rFonts w:asciiTheme="majorHAnsi" w:hAnsiTheme="majorHAnsi" w:cstheme="majorHAnsi"/>
          <w:color w:val="333333"/>
          <w:shd w:val="clear" w:color="auto" w:fill="FFFFFF"/>
        </w:rPr>
        <w:t xml:space="preserve">w języku </w:t>
      </w:r>
      <w:r w:rsidR="00DF3E86" w:rsidRPr="00CA392E">
        <w:rPr>
          <w:rFonts w:asciiTheme="majorHAnsi" w:hAnsiTheme="majorHAnsi" w:cstheme="majorHAnsi"/>
          <w:color w:val="333333"/>
          <w:shd w:val="clear" w:color="auto" w:fill="FFFFFF"/>
        </w:rPr>
        <w:t xml:space="preserve">polskim i </w:t>
      </w:r>
      <w:r w:rsidR="002B07C6" w:rsidRPr="00CA392E">
        <w:rPr>
          <w:rFonts w:asciiTheme="majorHAnsi" w:hAnsiTheme="majorHAnsi" w:cstheme="majorHAnsi"/>
          <w:color w:val="333333"/>
          <w:shd w:val="clear" w:color="auto" w:fill="FFFFFF"/>
        </w:rPr>
        <w:t xml:space="preserve">angielskim, </w:t>
      </w:r>
      <w:r w:rsidRPr="00CA392E">
        <w:rPr>
          <w:rFonts w:asciiTheme="majorHAnsi" w:hAnsiTheme="majorHAnsi" w:cstheme="majorHAnsi"/>
        </w:rPr>
        <w:t>sł</w:t>
      </w:r>
      <w:r w:rsidR="00DF3E86" w:rsidRPr="00CA392E">
        <w:rPr>
          <w:rFonts w:asciiTheme="majorHAnsi" w:hAnsiTheme="majorHAnsi" w:cstheme="majorHAnsi"/>
        </w:rPr>
        <w:t>owa</w:t>
      </w:r>
      <w:r w:rsidRPr="00CA392E">
        <w:rPr>
          <w:rFonts w:asciiTheme="majorHAnsi" w:hAnsiTheme="majorHAnsi" w:cstheme="majorHAnsi"/>
        </w:rPr>
        <w:t xml:space="preserve"> kluczow</w:t>
      </w:r>
      <w:r w:rsidR="00DF3E86" w:rsidRPr="00CA392E">
        <w:rPr>
          <w:rFonts w:asciiTheme="majorHAnsi" w:hAnsiTheme="majorHAnsi" w:cstheme="majorHAnsi"/>
        </w:rPr>
        <w:t>e</w:t>
      </w:r>
      <w:r w:rsidRPr="00CA392E">
        <w:rPr>
          <w:rFonts w:asciiTheme="majorHAnsi" w:hAnsiTheme="majorHAnsi" w:cstheme="majorHAnsi"/>
        </w:rPr>
        <w:t xml:space="preserve"> w języku polskim i</w:t>
      </w:r>
      <w:r w:rsidR="002B07C6" w:rsidRPr="00CA392E">
        <w:rPr>
          <w:rFonts w:asciiTheme="majorHAnsi" w:hAnsiTheme="majorHAnsi" w:cstheme="majorHAnsi"/>
        </w:rPr>
        <w:t> </w:t>
      </w:r>
      <w:r w:rsidRPr="00CA392E">
        <w:rPr>
          <w:rFonts w:asciiTheme="majorHAnsi" w:hAnsiTheme="majorHAnsi" w:cstheme="majorHAnsi"/>
        </w:rPr>
        <w:t>angielskim, a następnie dokonuje zatwierdzenia wprowadzonych danych</w:t>
      </w:r>
      <w:r w:rsidR="00BE79EC" w:rsidRPr="00CA392E">
        <w:rPr>
          <w:rFonts w:asciiTheme="majorHAnsi" w:hAnsiTheme="majorHAnsi" w:cstheme="majorHAnsi"/>
        </w:rPr>
        <w:t>.</w:t>
      </w:r>
    </w:p>
    <w:p w14:paraId="0038B8DD" w14:textId="2546A1CC" w:rsidR="00F20F47" w:rsidRPr="00CA392E" w:rsidRDefault="00F20F47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 xml:space="preserve">Ostateczną decyzję o uznaniu pracy za oryginalną podejmuje promotor. </w:t>
      </w:r>
    </w:p>
    <w:p w14:paraId="61AB85F0" w14:textId="71562489" w:rsidR="00537A61" w:rsidRPr="00CA392E" w:rsidRDefault="00251383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 xml:space="preserve">Promotor sprawdza </w:t>
      </w:r>
      <w:r w:rsidR="00BE79EC" w:rsidRPr="00CA392E">
        <w:rPr>
          <w:rFonts w:asciiTheme="majorHAnsi" w:hAnsiTheme="majorHAnsi" w:cstheme="majorHAnsi"/>
        </w:rPr>
        <w:t xml:space="preserve">poprawność wprowadzenia przez Doktoranta pliku z rozprawą w języku polskim lub obcym oraz </w:t>
      </w:r>
      <w:r w:rsidR="00537A61" w:rsidRPr="00CA392E">
        <w:rPr>
          <w:rFonts w:asciiTheme="majorHAnsi" w:hAnsiTheme="majorHAnsi" w:cstheme="majorHAnsi"/>
        </w:rPr>
        <w:t>zgodność tytułu rozprawy doktorskiej na stronie tytułowej pracy i w systemie APD. Następnie</w:t>
      </w:r>
      <w:r w:rsidR="00BE79EC" w:rsidRPr="00CA392E">
        <w:rPr>
          <w:rFonts w:asciiTheme="majorHAnsi" w:hAnsiTheme="majorHAnsi" w:cstheme="majorHAnsi"/>
        </w:rPr>
        <w:t xml:space="preserve"> sprawdza </w:t>
      </w:r>
      <w:r w:rsidR="00537A61" w:rsidRPr="00CA392E">
        <w:rPr>
          <w:rFonts w:asciiTheme="majorHAnsi" w:hAnsiTheme="majorHAnsi" w:cstheme="majorHAnsi"/>
        </w:rPr>
        <w:t xml:space="preserve">streszczenie </w:t>
      </w:r>
      <w:r w:rsidR="00537A61" w:rsidRPr="00CA392E">
        <w:rPr>
          <w:rFonts w:asciiTheme="majorHAnsi" w:hAnsiTheme="majorHAnsi" w:cstheme="majorHAnsi"/>
          <w:color w:val="333333"/>
          <w:shd w:val="clear" w:color="auto" w:fill="FFFFFF"/>
        </w:rPr>
        <w:t xml:space="preserve">w języku polskim i angielskim, </w:t>
      </w:r>
      <w:r w:rsidR="00537A61" w:rsidRPr="00CA392E">
        <w:rPr>
          <w:rFonts w:asciiTheme="majorHAnsi" w:hAnsiTheme="majorHAnsi" w:cstheme="majorHAnsi"/>
        </w:rPr>
        <w:t>słowa kluczowe w języku polskim i angielskim, nazw</w:t>
      </w:r>
      <w:r w:rsidR="00BE79EC" w:rsidRPr="00CA392E">
        <w:rPr>
          <w:rFonts w:asciiTheme="majorHAnsi" w:hAnsiTheme="majorHAnsi" w:cstheme="majorHAnsi"/>
        </w:rPr>
        <w:t>ę</w:t>
      </w:r>
      <w:r w:rsidR="00537A61" w:rsidRPr="00CA392E">
        <w:rPr>
          <w:rFonts w:asciiTheme="majorHAnsi" w:hAnsiTheme="majorHAnsi" w:cstheme="majorHAnsi"/>
        </w:rPr>
        <w:t xml:space="preserve"> zapisanego pliku</w:t>
      </w:r>
      <w:r w:rsidR="00BE79EC" w:rsidRPr="00CA392E">
        <w:rPr>
          <w:rFonts w:asciiTheme="majorHAnsi" w:hAnsiTheme="majorHAnsi" w:cstheme="majorHAnsi"/>
        </w:rPr>
        <w:t>.</w:t>
      </w:r>
    </w:p>
    <w:p w14:paraId="107D9B7B" w14:textId="353A4F28" w:rsidR="00F42141" w:rsidRPr="00CA392E" w:rsidRDefault="00251383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>W przypadku zaistniałej nieprawidłowości we wprowadzeniu danych, promotor informuje doktoranta</w:t>
      </w:r>
      <w:r w:rsidR="00BE79EC" w:rsidRPr="00CA392E">
        <w:rPr>
          <w:rFonts w:asciiTheme="majorHAnsi" w:hAnsiTheme="majorHAnsi" w:cstheme="majorHAnsi"/>
        </w:rPr>
        <w:t xml:space="preserve"> o zaistniałej sytuacji,</w:t>
      </w:r>
      <w:r w:rsidR="00054371" w:rsidRPr="00CA392E">
        <w:rPr>
          <w:rFonts w:asciiTheme="majorHAnsi" w:hAnsiTheme="majorHAnsi" w:cstheme="majorHAnsi"/>
        </w:rPr>
        <w:t xml:space="preserve"> co skutkuje cofnięciem rozprawy doktorskiej do modyfikacji</w:t>
      </w:r>
      <w:r w:rsidR="008D5F3F" w:rsidRPr="00CA392E">
        <w:rPr>
          <w:rFonts w:asciiTheme="majorHAnsi" w:hAnsiTheme="majorHAnsi" w:cstheme="majorHAnsi"/>
        </w:rPr>
        <w:t>.</w:t>
      </w:r>
    </w:p>
    <w:p w14:paraId="58494BB1" w14:textId="04C5E517" w:rsidR="00251383" w:rsidRPr="00CA392E" w:rsidRDefault="00251383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 xml:space="preserve">Po stwierdzeniu poprawności informacji wprowadzonych przez doktoranta, promotor (poprzez system APD) przekazuje rozprawę do sprawdzenia z wykorzystaniem </w:t>
      </w:r>
      <w:r w:rsidR="00596680" w:rsidRPr="00CA392E">
        <w:rPr>
          <w:rFonts w:asciiTheme="majorHAnsi" w:hAnsiTheme="majorHAnsi" w:cstheme="majorHAnsi"/>
        </w:rPr>
        <w:t>JSA</w:t>
      </w:r>
      <w:r w:rsidR="00BE79EC" w:rsidRPr="00CA392E">
        <w:rPr>
          <w:rFonts w:asciiTheme="majorHAnsi" w:hAnsiTheme="majorHAnsi" w:cstheme="majorHAnsi"/>
        </w:rPr>
        <w:t>.</w:t>
      </w:r>
      <w:r w:rsidRPr="00CA392E">
        <w:rPr>
          <w:rFonts w:asciiTheme="majorHAnsi" w:hAnsiTheme="majorHAnsi" w:cstheme="majorHAnsi"/>
        </w:rPr>
        <w:t xml:space="preserve"> </w:t>
      </w:r>
    </w:p>
    <w:p w14:paraId="35693802" w14:textId="18FB7425" w:rsidR="00F20F47" w:rsidRPr="00CA392E" w:rsidRDefault="00F20F47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 xml:space="preserve">Dla każdej sprawdzonej rozprawy generowany jest raport, który składa się z następujących sekcji: </w:t>
      </w:r>
    </w:p>
    <w:p w14:paraId="11EEBF85" w14:textId="064C3152" w:rsidR="005D6DC3" w:rsidRPr="00CA392E" w:rsidRDefault="00F20F47" w:rsidP="00E03DA7">
      <w:pPr>
        <w:spacing w:after="0" w:line="360" w:lineRule="auto"/>
        <w:ind w:left="348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>1) Analiza tekstu, służąca do oceny, czy na tekście badanej rozprawy zostały wykonane potencjalne manipulacje mające na celu ukrycie plagiatu. Analiza tekstu uwzględnia liczbę znaków specjalnych lub spoza jęz</w:t>
      </w:r>
      <w:r w:rsidR="00DB6B90" w:rsidRPr="00CA392E">
        <w:rPr>
          <w:rFonts w:asciiTheme="majorHAnsi" w:hAnsiTheme="majorHAnsi" w:cstheme="majorHAnsi"/>
        </w:rPr>
        <w:t>y</w:t>
      </w:r>
      <w:r w:rsidRPr="00CA392E">
        <w:rPr>
          <w:rFonts w:asciiTheme="majorHAnsi" w:hAnsiTheme="majorHAnsi" w:cstheme="majorHAnsi"/>
        </w:rPr>
        <w:t>ka pracy, liczbę nierozpoznanych słów, liczbę fragmentów innego stylu, długość wyrazów w badanej pracy</w:t>
      </w:r>
      <w:r w:rsidR="005D6DC3" w:rsidRPr="00CA392E">
        <w:rPr>
          <w:rFonts w:asciiTheme="majorHAnsi" w:hAnsiTheme="majorHAnsi" w:cstheme="majorHAnsi"/>
        </w:rPr>
        <w:t>.</w:t>
      </w:r>
      <w:r w:rsidRPr="00CA392E">
        <w:rPr>
          <w:rFonts w:asciiTheme="majorHAnsi" w:hAnsiTheme="majorHAnsi" w:cstheme="majorHAnsi"/>
        </w:rPr>
        <w:t xml:space="preserve"> </w:t>
      </w:r>
    </w:p>
    <w:p w14:paraId="0BFC3AEB" w14:textId="77777777" w:rsidR="005D6DC3" w:rsidRPr="00CA392E" w:rsidRDefault="00F20F47" w:rsidP="00E03DA7">
      <w:pPr>
        <w:spacing w:after="0" w:line="360" w:lineRule="auto"/>
        <w:ind w:left="348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 xml:space="preserve">3) Referencyjne bazy porównawcze z PRP dla znalezionych fragmentów w poszczególnych bazach porównania (repozytorium pisemnych prac dyplomowych (ORPPD), Internet, baza aktów prawnych, baza instytucji). </w:t>
      </w:r>
    </w:p>
    <w:p w14:paraId="44B9C632" w14:textId="340CD9A0" w:rsidR="00596680" w:rsidRPr="00CA392E" w:rsidRDefault="00F20F47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lastRenderedPageBreak/>
        <w:t xml:space="preserve">Ustala się, że teksty </w:t>
      </w:r>
      <w:r w:rsidR="005D6DC3" w:rsidRPr="00CA392E">
        <w:rPr>
          <w:rFonts w:asciiTheme="majorHAnsi" w:hAnsiTheme="majorHAnsi" w:cstheme="majorHAnsi"/>
        </w:rPr>
        <w:t xml:space="preserve">rozpraw doktorskich </w:t>
      </w:r>
      <w:r w:rsidRPr="00CA392E">
        <w:rPr>
          <w:rFonts w:asciiTheme="majorHAnsi" w:hAnsiTheme="majorHAnsi" w:cstheme="majorHAnsi"/>
        </w:rPr>
        <w:t xml:space="preserve">mogą być uznane za nienoszące znamion plagiatu, gdy procentowe rozmiary podobieństwa nie przekraczają: </w:t>
      </w:r>
    </w:p>
    <w:p w14:paraId="321FDF9E" w14:textId="45AC03DE" w:rsidR="00596680" w:rsidRPr="00CA392E" w:rsidRDefault="00F20F47" w:rsidP="00E03DA7">
      <w:pPr>
        <w:spacing w:after="0" w:line="360" w:lineRule="auto"/>
        <w:ind w:left="348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>1) 25% dla fraz 40-wyrazowych</w:t>
      </w:r>
      <w:r w:rsidR="00DB6B90" w:rsidRPr="00CA392E">
        <w:rPr>
          <w:rFonts w:asciiTheme="majorHAnsi" w:hAnsiTheme="majorHAnsi" w:cstheme="majorHAnsi"/>
        </w:rPr>
        <w:t>;</w:t>
      </w:r>
      <w:r w:rsidR="00764CFC" w:rsidRPr="00CA392E">
        <w:rPr>
          <w:rFonts w:asciiTheme="majorHAnsi" w:hAnsiTheme="majorHAnsi" w:cstheme="majorHAnsi"/>
        </w:rPr>
        <w:t xml:space="preserve"> </w:t>
      </w:r>
    </w:p>
    <w:p w14:paraId="74566F55" w14:textId="30822082" w:rsidR="00764CFC" w:rsidRPr="00CA392E" w:rsidRDefault="00764CFC" w:rsidP="00E03DA7">
      <w:pPr>
        <w:spacing w:after="0" w:line="360" w:lineRule="auto"/>
        <w:ind w:left="348"/>
        <w:jc w:val="both"/>
        <w:rPr>
          <w:rFonts w:asciiTheme="majorHAnsi" w:hAnsiTheme="majorHAnsi" w:cstheme="majorHAnsi"/>
          <w:highlight w:val="yellow"/>
        </w:rPr>
      </w:pPr>
      <w:r w:rsidRPr="00CA392E">
        <w:rPr>
          <w:rFonts w:asciiTheme="majorHAnsi" w:hAnsiTheme="majorHAnsi" w:cstheme="majorHAnsi"/>
        </w:rPr>
        <w:t>2) 30% dla fraz 20-wyrazowych.</w:t>
      </w:r>
    </w:p>
    <w:p w14:paraId="474F0F3F" w14:textId="2CC1DCF2" w:rsidR="00251383" w:rsidRPr="00CA392E" w:rsidRDefault="00F20F47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>W przypadku pozytywnego wyniku kontroli antyplagiatowej promotor zaznacza w systemie APD opcję „zaakceptuj wynik badania”</w:t>
      </w:r>
      <w:r w:rsidR="00DE4D8F">
        <w:rPr>
          <w:rFonts w:asciiTheme="majorHAnsi" w:hAnsiTheme="majorHAnsi" w:cstheme="majorHAnsi"/>
        </w:rPr>
        <w:t xml:space="preserve"> i </w:t>
      </w:r>
      <w:r w:rsidR="00DE4D8F" w:rsidRPr="00CA392E">
        <w:rPr>
          <w:rFonts w:asciiTheme="majorHAnsi" w:hAnsiTheme="majorHAnsi" w:cstheme="majorHAnsi"/>
        </w:rPr>
        <w:t xml:space="preserve">dostarcza podpisany wydruk </w:t>
      </w:r>
      <w:r w:rsidR="00DE4D8F">
        <w:rPr>
          <w:rFonts w:asciiTheme="majorHAnsi" w:hAnsiTheme="majorHAnsi" w:cstheme="majorHAnsi"/>
        </w:rPr>
        <w:t xml:space="preserve">raportu </w:t>
      </w:r>
      <w:r w:rsidR="00DE4D8F" w:rsidRPr="00CA392E">
        <w:rPr>
          <w:rFonts w:asciiTheme="majorHAnsi" w:hAnsiTheme="majorHAnsi" w:cstheme="majorHAnsi"/>
        </w:rPr>
        <w:t xml:space="preserve">do biura </w:t>
      </w:r>
      <w:r w:rsidR="00DE4D8F">
        <w:rPr>
          <w:rFonts w:asciiTheme="majorHAnsi" w:hAnsiTheme="majorHAnsi" w:cstheme="majorHAnsi"/>
        </w:rPr>
        <w:t>prowadzącego postępowanie doktorskie.</w:t>
      </w:r>
    </w:p>
    <w:p w14:paraId="65EDEE33" w14:textId="57B094C1" w:rsidR="00847C18" w:rsidRPr="00CA392E" w:rsidRDefault="00F20F47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 xml:space="preserve">W przypadku przekroczenia dopuszczalnej wysokości </w:t>
      </w:r>
      <w:r w:rsidR="005D6DC3" w:rsidRPr="00CA392E">
        <w:rPr>
          <w:rFonts w:asciiTheme="majorHAnsi" w:hAnsiTheme="majorHAnsi" w:cstheme="majorHAnsi"/>
        </w:rPr>
        <w:t>wyniku raportu</w:t>
      </w:r>
      <w:r w:rsidRPr="00CA392E">
        <w:rPr>
          <w:rFonts w:asciiTheme="majorHAnsi" w:hAnsiTheme="majorHAnsi" w:cstheme="majorHAnsi"/>
        </w:rPr>
        <w:t xml:space="preserve">, uznanego przez promotora za uzasadnione, promotor zaznacza w systemie APD opcję „zaakceptuj wynik badania”, sporządza </w:t>
      </w:r>
      <w:r w:rsidR="005D6DC3" w:rsidRPr="00CA392E">
        <w:rPr>
          <w:rFonts w:asciiTheme="majorHAnsi" w:hAnsiTheme="majorHAnsi" w:cstheme="majorHAnsi"/>
        </w:rPr>
        <w:t xml:space="preserve">uzasadnienie na raporcie </w:t>
      </w:r>
      <w:r w:rsidRPr="00CA392E">
        <w:rPr>
          <w:rFonts w:asciiTheme="majorHAnsi" w:hAnsiTheme="majorHAnsi" w:cstheme="majorHAnsi"/>
        </w:rPr>
        <w:t xml:space="preserve">i </w:t>
      </w:r>
      <w:r w:rsidR="005D6DC3" w:rsidRPr="00CA392E">
        <w:rPr>
          <w:rFonts w:asciiTheme="majorHAnsi" w:hAnsiTheme="majorHAnsi" w:cstheme="majorHAnsi"/>
        </w:rPr>
        <w:t xml:space="preserve">dostarcza podpisany wydruk do biura </w:t>
      </w:r>
      <w:r w:rsidR="00005A53">
        <w:rPr>
          <w:rFonts w:asciiTheme="majorHAnsi" w:hAnsiTheme="majorHAnsi" w:cstheme="majorHAnsi"/>
        </w:rPr>
        <w:t>prowadzącego postępowanie doktorskie</w:t>
      </w:r>
      <w:r w:rsidR="00251383" w:rsidRPr="00CA392E">
        <w:rPr>
          <w:rFonts w:asciiTheme="majorHAnsi" w:hAnsiTheme="majorHAnsi" w:cstheme="majorHAnsi"/>
        </w:rPr>
        <w:t>.</w:t>
      </w:r>
    </w:p>
    <w:p w14:paraId="4A1B14F2" w14:textId="240853CC" w:rsidR="009F4CC2" w:rsidRPr="00557425" w:rsidRDefault="00F20F47" w:rsidP="00E03DA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CA392E">
        <w:rPr>
          <w:rFonts w:asciiTheme="majorHAnsi" w:hAnsiTheme="majorHAnsi" w:cstheme="majorHAnsi"/>
        </w:rPr>
        <w:t>W przypadku uznania</w:t>
      </w:r>
      <w:r w:rsidR="00A61B57" w:rsidRPr="00CA392E">
        <w:rPr>
          <w:rFonts w:asciiTheme="majorHAnsi" w:hAnsiTheme="majorHAnsi" w:cstheme="majorHAnsi"/>
        </w:rPr>
        <w:t xml:space="preserve"> rozprawy doktorskiej </w:t>
      </w:r>
      <w:r w:rsidRPr="00CA392E">
        <w:rPr>
          <w:rFonts w:asciiTheme="majorHAnsi" w:hAnsiTheme="majorHAnsi" w:cstheme="majorHAnsi"/>
        </w:rPr>
        <w:t>za nieoryginalną, promotor</w:t>
      </w:r>
      <w:r w:rsidR="003217C3" w:rsidRPr="00CA392E">
        <w:rPr>
          <w:rFonts w:asciiTheme="majorHAnsi" w:hAnsiTheme="majorHAnsi" w:cstheme="majorHAnsi"/>
        </w:rPr>
        <w:t xml:space="preserve"> wydaję negatywną opinię</w:t>
      </w:r>
      <w:r w:rsidR="00EC3A3E" w:rsidRPr="00CA392E">
        <w:rPr>
          <w:rFonts w:asciiTheme="majorHAnsi" w:hAnsiTheme="majorHAnsi" w:cstheme="majorHAnsi"/>
        </w:rPr>
        <w:t xml:space="preserve"> (raport wraz z uzasadnieniem)</w:t>
      </w:r>
      <w:r w:rsidR="003217C3" w:rsidRPr="00CA392E">
        <w:rPr>
          <w:rFonts w:asciiTheme="majorHAnsi" w:hAnsiTheme="majorHAnsi" w:cstheme="majorHAnsi"/>
        </w:rPr>
        <w:t xml:space="preserve"> </w:t>
      </w:r>
      <w:r w:rsidR="00EC3A3E" w:rsidRPr="00CA392E">
        <w:rPr>
          <w:rFonts w:asciiTheme="majorHAnsi" w:hAnsiTheme="majorHAnsi" w:cstheme="majorHAnsi"/>
        </w:rPr>
        <w:t xml:space="preserve">przekazuję </w:t>
      </w:r>
      <w:r w:rsidRPr="00CA392E">
        <w:rPr>
          <w:rFonts w:asciiTheme="majorHAnsi" w:hAnsiTheme="majorHAnsi" w:cstheme="majorHAnsi"/>
        </w:rPr>
        <w:t xml:space="preserve">sprawę do Rektora, w celu podjęcia przez niego dalszych </w:t>
      </w:r>
      <w:r w:rsidR="00764CFC" w:rsidRPr="00CA392E">
        <w:rPr>
          <w:rFonts w:asciiTheme="majorHAnsi" w:hAnsiTheme="majorHAnsi" w:cstheme="majorHAnsi"/>
        </w:rPr>
        <w:t>działań.</w:t>
      </w:r>
    </w:p>
    <w:sectPr w:rsidR="009F4CC2" w:rsidRPr="00557425" w:rsidSect="00E03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6177" w14:textId="77777777" w:rsidR="000B4386" w:rsidRDefault="000B4386" w:rsidP="00483F92">
      <w:pPr>
        <w:spacing w:after="0" w:line="240" w:lineRule="auto"/>
      </w:pPr>
      <w:r>
        <w:separator/>
      </w:r>
    </w:p>
  </w:endnote>
  <w:endnote w:type="continuationSeparator" w:id="0">
    <w:p w14:paraId="6F03C901" w14:textId="77777777" w:rsidR="000B4386" w:rsidRDefault="000B4386" w:rsidP="0048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63F4" w14:textId="77777777" w:rsidR="0075350D" w:rsidRDefault="007535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C9F9" w14:textId="77777777" w:rsidR="0075350D" w:rsidRDefault="007535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5D28" w14:textId="77777777" w:rsidR="0075350D" w:rsidRDefault="007535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DD92" w14:textId="77777777" w:rsidR="000B4386" w:rsidRDefault="000B4386" w:rsidP="00483F92">
      <w:pPr>
        <w:spacing w:after="0" w:line="240" w:lineRule="auto"/>
      </w:pPr>
      <w:r>
        <w:separator/>
      </w:r>
    </w:p>
  </w:footnote>
  <w:footnote w:type="continuationSeparator" w:id="0">
    <w:p w14:paraId="4E5CC28D" w14:textId="77777777" w:rsidR="000B4386" w:rsidRDefault="000B4386" w:rsidP="0048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E16F" w14:textId="77777777" w:rsidR="0075350D" w:rsidRDefault="007535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96DC" w14:textId="52E5B18F" w:rsidR="004A336B" w:rsidRDefault="004A336B">
    <w:pPr>
      <w:pStyle w:val="Nagwek"/>
    </w:pPr>
    <w:r w:rsidRPr="00E03DA7">
      <w:rPr>
        <w:rFonts w:asciiTheme="majorHAnsi" w:hAnsiTheme="majorHAnsi" w:cstheme="majorHAnsi"/>
        <w:b/>
        <w:bCs/>
        <w:noProof/>
        <w:spacing w:val="-1"/>
        <w:sz w:val="24"/>
        <w:szCs w:val="24"/>
      </w:rPr>
      <w:drawing>
        <wp:inline distT="0" distB="0" distL="0" distR="0" wp14:anchorId="50D9995C" wp14:editId="36560F6F">
          <wp:extent cx="6594852" cy="791455"/>
          <wp:effectExtent l="0" t="0" r="0" b="8890"/>
          <wp:docPr id="10891971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419" cy="79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250C" w14:textId="77777777" w:rsidR="0075350D" w:rsidRDefault="007535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D34"/>
    <w:multiLevelType w:val="hybridMultilevel"/>
    <w:tmpl w:val="03A0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C95"/>
    <w:multiLevelType w:val="hybridMultilevel"/>
    <w:tmpl w:val="5E8C9090"/>
    <w:lvl w:ilvl="0" w:tplc="EF7AA27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603F"/>
    <w:multiLevelType w:val="hybridMultilevel"/>
    <w:tmpl w:val="147883DE"/>
    <w:lvl w:ilvl="0" w:tplc="EF7AA27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3B71"/>
    <w:multiLevelType w:val="multilevel"/>
    <w:tmpl w:val="2A2C5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4D5DE7"/>
    <w:multiLevelType w:val="hybridMultilevel"/>
    <w:tmpl w:val="472A7964"/>
    <w:lvl w:ilvl="0" w:tplc="76C4D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873D1"/>
    <w:multiLevelType w:val="hybridMultilevel"/>
    <w:tmpl w:val="73805F08"/>
    <w:lvl w:ilvl="0" w:tplc="EF7AA27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4143">
    <w:abstractNumId w:val="3"/>
  </w:num>
  <w:num w:numId="2" w16cid:durableId="899174880">
    <w:abstractNumId w:val="4"/>
  </w:num>
  <w:num w:numId="3" w16cid:durableId="1873423803">
    <w:abstractNumId w:val="0"/>
  </w:num>
  <w:num w:numId="4" w16cid:durableId="167327642">
    <w:abstractNumId w:val="5"/>
  </w:num>
  <w:num w:numId="5" w16cid:durableId="944576508">
    <w:abstractNumId w:val="1"/>
  </w:num>
  <w:num w:numId="6" w16cid:durableId="207496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587"/>
    <w:rsid w:val="000016CB"/>
    <w:rsid w:val="00003797"/>
    <w:rsid w:val="00005A53"/>
    <w:rsid w:val="00031AC2"/>
    <w:rsid w:val="00033F02"/>
    <w:rsid w:val="00053489"/>
    <w:rsid w:val="000535CF"/>
    <w:rsid w:val="00054371"/>
    <w:rsid w:val="000B4386"/>
    <w:rsid w:val="000C7836"/>
    <w:rsid w:val="00102DF3"/>
    <w:rsid w:val="00106944"/>
    <w:rsid w:val="00106E5C"/>
    <w:rsid w:val="0012084D"/>
    <w:rsid w:val="00120C11"/>
    <w:rsid w:val="0012112C"/>
    <w:rsid w:val="0013068D"/>
    <w:rsid w:val="00131767"/>
    <w:rsid w:val="00132A24"/>
    <w:rsid w:val="00155649"/>
    <w:rsid w:val="00167859"/>
    <w:rsid w:val="00180034"/>
    <w:rsid w:val="0018006E"/>
    <w:rsid w:val="00186587"/>
    <w:rsid w:val="001F369A"/>
    <w:rsid w:val="001F7D36"/>
    <w:rsid w:val="0021350F"/>
    <w:rsid w:val="00213EAE"/>
    <w:rsid w:val="00217910"/>
    <w:rsid w:val="002211FF"/>
    <w:rsid w:val="00227891"/>
    <w:rsid w:val="002352CE"/>
    <w:rsid w:val="002378BD"/>
    <w:rsid w:val="00242F90"/>
    <w:rsid w:val="00251383"/>
    <w:rsid w:val="002566B9"/>
    <w:rsid w:val="002629C8"/>
    <w:rsid w:val="00264264"/>
    <w:rsid w:val="00264CC2"/>
    <w:rsid w:val="00270F3C"/>
    <w:rsid w:val="0028257E"/>
    <w:rsid w:val="002A08A6"/>
    <w:rsid w:val="002B07C6"/>
    <w:rsid w:val="002B2610"/>
    <w:rsid w:val="002B7DF7"/>
    <w:rsid w:val="002C45BA"/>
    <w:rsid w:val="002C6818"/>
    <w:rsid w:val="002C6EF0"/>
    <w:rsid w:val="002D6160"/>
    <w:rsid w:val="002E52E5"/>
    <w:rsid w:val="002F1E53"/>
    <w:rsid w:val="002F43EE"/>
    <w:rsid w:val="003217C3"/>
    <w:rsid w:val="003226CB"/>
    <w:rsid w:val="003232EE"/>
    <w:rsid w:val="003335F5"/>
    <w:rsid w:val="0033549C"/>
    <w:rsid w:val="00353D56"/>
    <w:rsid w:val="00354E33"/>
    <w:rsid w:val="00360401"/>
    <w:rsid w:val="0036254A"/>
    <w:rsid w:val="00382494"/>
    <w:rsid w:val="003843C6"/>
    <w:rsid w:val="00384FDA"/>
    <w:rsid w:val="003A5D4E"/>
    <w:rsid w:val="003C0629"/>
    <w:rsid w:val="003C2F73"/>
    <w:rsid w:val="004148B7"/>
    <w:rsid w:val="00416D0A"/>
    <w:rsid w:val="004238EA"/>
    <w:rsid w:val="00437A26"/>
    <w:rsid w:val="004602D2"/>
    <w:rsid w:val="004620C9"/>
    <w:rsid w:val="00483F92"/>
    <w:rsid w:val="0048796C"/>
    <w:rsid w:val="004926FF"/>
    <w:rsid w:val="00492E1F"/>
    <w:rsid w:val="0049685A"/>
    <w:rsid w:val="004A336B"/>
    <w:rsid w:val="004A3A6C"/>
    <w:rsid w:val="004B4C07"/>
    <w:rsid w:val="004B6B9E"/>
    <w:rsid w:val="004C5F9A"/>
    <w:rsid w:val="004E7901"/>
    <w:rsid w:val="004F34DC"/>
    <w:rsid w:val="004F5192"/>
    <w:rsid w:val="004F6336"/>
    <w:rsid w:val="00501626"/>
    <w:rsid w:val="00522D75"/>
    <w:rsid w:val="00525AE8"/>
    <w:rsid w:val="00526CB6"/>
    <w:rsid w:val="00534212"/>
    <w:rsid w:val="00537A61"/>
    <w:rsid w:val="005457F2"/>
    <w:rsid w:val="0055087B"/>
    <w:rsid w:val="00557425"/>
    <w:rsid w:val="005640D6"/>
    <w:rsid w:val="00583EA2"/>
    <w:rsid w:val="00584578"/>
    <w:rsid w:val="00595B32"/>
    <w:rsid w:val="00596680"/>
    <w:rsid w:val="005A2537"/>
    <w:rsid w:val="005A630B"/>
    <w:rsid w:val="005B56D8"/>
    <w:rsid w:val="005D1CD1"/>
    <w:rsid w:val="005D6DC3"/>
    <w:rsid w:val="005E5C66"/>
    <w:rsid w:val="005E7CD5"/>
    <w:rsid w:val="00607577"/>
    <w:rsid w:val="00612689"/>
    <w:rsid w:val="00621D45"/>
    <w:rsid w:val="00623A42"/>
    <w:rsid w:val="00644BE5"/>
    <w:rsid w:val="00646211"/>
    <w:rsid w:val="006670A5"/>
    <w:rsid w:val="00674394"/>
    <w:rsid w:val="006877DB"/>
    <w:rsid w:val="00690E99"/>
    <w:rsid w:val="006B2B32"/>
    <w:rsid w:val="006C0389"/>
    <w:rsid w:val="006C055B"/>
    <w:rsid w:val="006C0D73"/>
    <w:rsid w:val="006C6755"/>
    <w:rsid w:val="006E2B62"/>
    <w:rsid w:val="006F1A56"/>
    <w:rsid w:val="00707C1E"/>
    <w:rsid w:val="0075350D"/>
    <w:rsid w:val="00764CFC"/>
    <w:rsid w:val="0077059A"/>
    <w:rsid w:val="00776EEC"/>
    <w:rsid w:val="007A52C4"/>
    <w:rsid w:val="007B09C1"/>
    <w:rsid w:val="007C1A23"/>
    <w:rsid w:val="007C5654"/>
    <w:rsid w:val="007D4B18"/>
    <w:rsid w:val="007F7C84"/>
    <w:rsid w:val="008001B9"/>
    <w:rsid w:val="008049B7"/>
    <w:rsid w:val="00816E38"/>
    <w:rsid w:val="00847C18"/>
    <w:rsid w:val="00852C90"/>
    <w:rsid w:val="00856CDD"/>
    <w:rsid w:val="00857695"/>
    <w:rsid w:val="0088471B"/>
    <w:rsid w:val="00885373"/>
    <w:rsid w:val="0089197B"/>
    <w:rsid w:val="0089610B"/>
    <w:rsid w:val="008A2096"/>
    <w:rsid w:val="008A2F72"/>
    <w:rsid w:val="008B64D8"/>
    <w:rsid w:val="008D5F3F"/>
    <w:rsid w:val="008D6123"/>
    <w:rsid w:val="008F14CF"/>
    <w:rsid w:val="008F71A3"/>
    <w:rsid w:val="00904A7F"/>
    <w:rsid w:val="00934BEB"/>
    <w:rsid w:val="00957FAA"/>
    <w:rsid w:val="00962492"/>
    <w:rsid w:val="00975985"/>
    <w:rsid w:val="0099756B"/>
    <w:rsid w:val="009B4E0C"/>
    <w:rsid w:val="009F4CC2"/>
    <w:rsid w:val="00A11ECC"/>
    <w:rsid w:val="00A25D11"/>
    <w:rsid w:val="00A344FA"/>
    <w:rsid w:val="00A44382"/>
    <w:rsid w:val="00A509B6"/>
    <w:rsid w:val="00A61B57"/>
    <w:rsid w:val="00A671B5"/>
    <w:rsid w:val="00A92984"/>
    <w:rsid w:val="00AC5845"/>
    <w:rsid w:val="00B02E37"/>
    <w:rsid w:val="00B04BBE"/>
    <w:rsid w:val="00B04C37"/>
    <w:rsid w:val="00B179B8"/>
    <w:rsid w:val="00B325F2"/>
    <w:rsid w:val="00B37977"/>
    <w:rsid w:val="00B37E5A"/>
    <w:rsid w:val="00B54205"/>
    <w:rsid w:val="00B65B06"/>
    <w:rsid w:val="00B66A35"/>
    <w:rsid w:val="00B703C0"/>
    <w:rsid w:val="00B745AD"/>
    <w:rsid w:val="00B75020"/>
    <w:rsid w:val="00B763A1"/>
    <w:rsid w:val="00BA7481"/>
    <w:rsid w:val="00BB2156"/>
    <w:rsid w:val="00BE4325"/>
    <w:rsid w:val="00BE79EC"/>
    <w:rsid w:val="00C33C78"/>
    <w:rsid w:val="00C33E21"/>
    <w:rsid w:val="00C52792"/>
    <w:rsid w:val="00C55E18"/>
    <w:rsid w:val="00C70DFA"/>
    <w:rsid w:val="00C75789"/>
    <w:rsid w:val="00C82147"/>
    <w:rsid w:val="00C8243E"/>
    <w:rsid w:val="00C902BD"/>
    <w:rsid w:val="00C96C28"/>
    <w:rsid w:val="00CA3149"/>
    <w:rsid w:val="00CA392E"/>
    <w:rsid w:val="00CB10AC"/>
    <w:rsid w:val="00CB72ED"/>
    <w:rsid w:val="00CC2823"/>
    <w:rsid w:val="00CC5EB8"/>
    <w:rsid w:val="00CC67C0"/>
    <w:rsid w:val="00CE2237"/>
    <w:rsid w:val="00D15ECB"/>
    <w:rsid w:val="00D31692"/>
    <w:rsid w:val="00D356ED"/>
    <w:rsid w:val="00D4073B"/>
    <w:rsid w:val="00D7347C"/>
    <w:rsid w:val="00D77605"/>
    <w:rsid w:val="00D90262"/>
    <w:rsid w:val="00D93E27"/>
    <w:rsid w:val="00DA4ED5"/>
    <w:rsid w:val="00DB6B90"/>
    <w:rsid w:val="00DD207A"/>
    <w:rsid w:val="00DE1420"/>
    <w:rsid w:val="00DE4D8F"/>
    <w:rsid w:val="00DE7B29"/>
    <w:rsid w:val="00DF3E86"/>
    <w:rsid w:val="00DF5AB7"/>
    <w:rsid w:val="00E03DA7"/>
    <w:rsid w:val="00E1402B"/>
    <w:rsid w:val="00E31D7A"/>
    <w:rsid w:val="00E322E5"/>
    <w:rsid w:val="00E32690"/>
    <w:rsid w:val="00E4465E"/>
    <w:rsid w:val="00E44B44"/>
    <w:rsid w:val="00E77D21"/>
    <w:rsid w:val="00E875CC"/>
    <w:rsid w:val="00E955F0"/>
    <w:rsid w:val="00EA0AD4"/>
    <w:rsid w:val="00EA226C"/>
    <w:rsid w:val="00EB1B5E"/>
    <w:rsid w:val="00EB445C"/>
    <w:rsid w:val="00EC3A3E"/>
    <w:rsid w:val="00ED3CEE"/>
    <w:rsid w:val="00ED7577"/>
    <w:rsid w:val="00EE431B"/>
    <w:rsid w:val="00EE4F54"/>
    <w:rsid w:val="00EE747E"/>
    <w:rsid w:val="00EF1B8F"/>
    <w:rsid w:val="00EF401D"/>
    <w:rsid w:val="00F00925"/>
    <w:rsid w:val="00F20F47"/>
    <w:rsid w:val="00F27336"/>
    <w:rsid w:val="00F32EE4"/>
    <w:rsid w:val="00F42141"/>
    <w:rsid w:val="00F42379"/>
    <w:rsid w:val="00F66325"/>
    <w:rsid w:val="00F66C98"/>
    <w:rsid w:val="00F7252D"/>
    <w:rsid w:val="00F81AF6"/>
    <w:rsid w:val="00F830EE"/>
    <w:rsid w:val="00F854E7"/>
    <w:rsid w:val="00FA3EED"/>
    <w:rsid w:val="00FB1EA3"/>
    <w:rsid w:val="00FC0165"/>
    <w:rsid w:val="00FD4377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046378"/>
  <w15:docId w15:val="{39CD0AF5-3377-4ADC-8036-BB4C9F5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65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F92"/>
  </w:style>
  <w:style w:type="paragraph" w:styleId="Stopka">
    <w:name w:val="footer"/>
    <w:basedOn w:val="Normalny"/>
    <w:link w:val="StopkaZnak"/>
    <w:uiPriority w:val="99"/>
    <w:unhideWhenUsed/>
    <w:rsid w:val="0048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F92"/>
  </w:style>
  <w:style w:type="character" w:styleId="Odwoaniedokomentarza">
    <w:name w:val="annotation reference"/>
    <w:basedOn w:val="Domylnaczcionkaakapitu"/>
    <w:uiPriority w:val="99"/>
    <w:semiHidden/>
    <w:unhideWhenUsed/>
    <w:rsid w:val="00E44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65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F3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abienkowska</dc:creator>
  <cp:lastModifiedBy>Katarzyna Błachnio</cp:lastModifiedBy>
  <cp:revision>33</cp:revision>
  <cp:lastPrinted>2022-05-12T11:51:00Z</cp:lastPrinted>
  <dcterms:created xsi:type="dcterms:W3CDTF">2022-05-16T10:04:00Z</dcterms:created>
  <dcterms:modified xsi:type="dcterms:W3CDTF">2025-12-22T16:51:00Z</dcterms:modified>
</cp:coreProperties>
</file>